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F97AA591-76D3-4CE0-B44A-BF417C6CDDCB}"/>
            <w:text/>
          </w:sdtPr>
          <w:sdtContent>
            <w:p w:rsidR="00C537CB" w:rsidRDefault="00A30323">
              <w:pPr>
                <w:pStyle w:val="Publishwithline"/>
              </w:pPr>
              <w:r>
                <w:t>Cookies and European Law 2012</w:t>
              </w:r>
            </w:p>
          </w:sdtContent>
        </w:sdt>
        <w:p w:rsidR="00C537CB" w:rsidRDefault="00C537CB">
          <w:pPr>
            <w:pStyle w:val="underline"/>
          </w:pPr>
        </w:p>
        <w:p w:rsidR="00C537CB" w:rsidRDefault="00F84319">
          <w:pPr>
            <w:pStyle w:val="PadderBetweenControlandBody"/>
          </w:pPr>
        </w:p>
      </w:sdtContent>
    </w:sdt>
    <w:p w:rsidR="00306510" w:rsidRDefault="00306510" w:rsidP="00A73D04">
      <w:pPr>
        <w:pStyle w:val="Heading3"/>
      </w:pPr>
      <w:r>
        <w:t>Introduction</w:t>
      </w:r>
    </w:p>
    <w:p w:rsidR="00510401" w:rsidRDefault="00A30323" w:rsidP="00510401">
      <w:r>
        <w:t xml:space="preserve">In 2009 the European </w:t>
      </w:r>
      <w:r w:rsidR="00615B31">
        <w:t>Commission</w:t>
      </w:r>
      <w:r>
        <w:t xml:space="preserve"> issued an amendment to the</w:t>
      </w:r>
      <w:r w:rsidR="00615B31">
        <w:t xml:space="preserve"> 2003 E-Privacy Directive requiring consent for the </w:t>
      </w:r>
      <w:r w:rsidR="006B4C71">
        <w:t>storage of information on user</w:t>
      </w:r>
      <w:r w:rsidR="00615B31">
        <w:t xml:space="preserve"> </w:t>
      </w:r>
      <w:r w:rsidR="006B4C71">
        <w:t>devices</w:t>
      </w:r>
      <w:r w:rsidR="00615B31">
        <w:t>.  The British Government, and all other member states, passed this into law in 2011</w:t>
      </w:r>
      <w:r w:rsidR="002B74EB">
        <w:t xml:space="preserve">.  </w:t>
      </w:r>
      <w:r w:rsidR="007329C8">
        <w:t xml:space="preserve"> </w:t>
      </w:r>
      <w:r w:rsidR="002B74EB">
        <w:t xml:space="preserve">Prior to this </w:t>
      </w:r>
      <w:r w:rsidR="00D607BB">
        <w:t>the government made it clear that there would be lead in phase of 1 year allowing businesses time to prepare for the changes.</w:t>
      </w:r>
      <w:r w:rsidR="00CB29E1">
        <w:t xml:space="preserve">  This so called “amnesty period” comes to an end in May 2012.</w:t>
      </w:r>
      <w:r w:rsidR="00510401" w:rsidRPr="00510401">
        <w:t xml:space="preserve"> </w:t>
      </w:r>
    </w:p>
    <w:p w:rsidR="00510401" w:rsidRDefault="006B4C71" w:rsidP="00510401">
      <w:r>
        <w:t>In their latest guidance document</w:t>
      </w:r>
      <w:r w:rsidR="00303482">
        <w:t xml:space="preserve">, </w:t>
      </w:r>
      <w:r w:rsidR="00C10742">
        <w:t>t</w:t>
      </w:r>
      <w:r w:rsidR="00510401">
        <w:t xml:space="preserve">he British government’s information regulatory office, the </w:t>
      </w:r>
      <w:hyperlink r:id="rId6" w:history="1">
        <w:r w:rsidR="00510401" w:rsidRPr="00041E1A">
          <w:rPr>
            <w:rStyle w:val="Hyperlink"/>
          </w:rPr>
          <w:t>Information Commissioner’s Office</w:t>
        </w:r>
      </w:hyperlink>
      <w:r w:rsidR="00DD1A14">
        <w:t xml:space="preserve"> (ICO)</w:t>
      </w:r>
      <w:r w:rsidR="00510401">
        <w:t>, offers detailed guidelines on how businesses might comply with the new regulation.</w:t>
      </w:r>
    </w:p>
    <w:p w:rsidR="00510401" w:rsidRDefault="00510401">
      <w:r>
        <w:t>There follows a brief outline of the December 2011 guidelines.</w:t>
      </w:r>
    </w:p>
    <w:p w:rsidR="00510401" w:rsidRDefault="00DD1A14" w:rsidP="00A73D04">
      <w:pPr>
        <w:pStyle w:val="Heading3"/>
      </w:pPr>
      <w:r>
        <w:t>Why now?</w:t>
      </w:r>
    </w:p>
    <w:p w:rsidR="00DD1A14" w:rsidRDefault="002D5840">
      <w:r>
        <w:t>The legislation was prompted by concerns about online tracking and spy</w:t>
      </w:r>
      <w:r w:rsidR="006B4C71">
        <w:t xml:space="preserve">ware i.e. information stored on </w:t>
      </w:r>
      <w:r>
        <w:t>users PC’s</w:t>
      </w:r>
      <w:r w:rsidR="006B4C71">
        <w:t xml:space="preserve"> which is</w:t>
      </w:r>
      <w:r>
        <w:t xml:space="preserve"> used to identify them without their knowledge.  </w:t>
      </w:r>
    </w:p>
    <w:p w:rsidR="00DD1A14" w:rsidRDefault="00DD1A14" w:rsidP="00A73D04">
      <w:pPr>
        <w:pStyle w:val="Heading3"/>
      </w:pPr>
      <w:r>
        <w:t>What does it cover?</w:t>
      </w:r>
    </w:p>
    <w:p w:rsidR="00DD1A14" w:rsidRDefault="002D5840" w:rsidP="00A73D04">
      <w:r>
        <w:t xml:space="preserve">It covers </w:t>
      </w:r>
      <w:r w:rsidR="00DD1A14">
        <w:t>cookies</w:t>
      </w:r>
      <w:r w:rsidR="00257692">
        <w:t xml:space="preserve"> (to both persistent and non-persistent)</w:t>
      </w:r>
      <w:r w:rsidR="00DD1A14">
        <w:t xml:space="preserve">, “Shared objects” </w:t>
      </w:r>
      <w:r w:rsidR="006B4C71">
        <w:t>(</w:t>
      </w:r>
      <w:r w:rsidR="00A73D04">
        <w:t>e.g.</w:t>
      </w:r>
      <w:r w:rsidR="00DD1A14">
        <w:t xml:space="preserve"> Flash Cookies</w:t>
      </w:r>
      <w:r w:rsidR="006B4C71">
        <w:t xml:space="preserve"> and</w:t>
      </w:r>
      <w:r w:rsidR="00A73D04">
        <w:t xml:space="preserve"> Silverlight Isolated Storage objects</w:t>
      </w:r>
      <w:r w:rsidR="006B4C71">
        <w:t>)</w:t>
      </w:r>
      <w:r w:rsidR="00A73D04">
        <w:t xml:space="preserve"> and web bugs (e.g. inform</w:t>
      </w:r>
      <w:r w:rsidR="00257692">
        <w:t xml:space="preserve">ation hidden in gif files). </w:t>
      </w:r>
    </w:p>
    <w:p w:rsidR="00DD1A14" w:rsidRDefault="00A73D04">
      <w:r>
        <w:t xml:space="preserve">Importantly it applies to any information about a user and </w:t>
      </w:r>
      <w:r w:rsidR="00DD1A14" w:rsidRPr="00A73D04">
        <w:rPr>
          <w:b/>
        </w:rPr>
        <w:t>not</w:t>
      </w:r>
      <w:r w:rsidR="00DD1A14">
        <w:t xml:space="preserve"> </w:t>
      </w:r>
      <w:r>
        <w:t xml:space="preserve">just </w:t>
      </w:r>
      <w:r w:rsidR="00DD1A14">
        <w:t>PII</w:t>
      </w:r>
      <w:r>
        <w:t>.</w:t>
      </w:r>
    </w:p>
    <w:p w:rsidR="00DD1A14" w:rsidRDefault="00DD1A14" w:rsidP="00A73D04">
      <w:pPr>
        <w:pStyle w:val="Heading3"/>
      </w:pPr>
      <w:r>
        <w:t>Consent</w:t>
      </w:r>
    </w:p>
    <w:p w:rsidR="00257692" w:rsidRDefault="004874DE">
      <w:r>
        <w:t>There are three</w:t>
      </w:r>
      <w:r w:rsidR="00257692">
        <w:t xml:space="preserve"> classifications of consent.</w:t>
      </w:r>
      <w:r w:rsidR="006B4C71">
        <w:t xml:space="preserve">  Understanding these is important in assessing any necessary compliance measures.</w:t>
      </w:r>
    </w:p>
    <w:p w:rsidR="00DD1A14" w:rsidRDefault="00E467A8" w:rsidP="00407B95">
      <w:pPr>
        <w:pStyle w:val="Heading4"/>
      </w:pPr>
      <w:r>
        <w:t>Prior</w:t>
      </w:r>
      <w:r w:rsidR="00306044">
        <w:t xml:space="preserve"> </w:t>
      </w:r>
    </w:p>
    <w:p w:rsidR="00E467A8" w:rsidRDefault="00E467A8">
      <w:r>
        <w:t xml:space="preserve">This describes the act of getting consent after a cookie has already been created.  This is not how consent normally works </w:t>
      </w:r>
      <w:r w:rsidR="00306044">
        <w:t>and is likely to confuse users</w:t>
      </w:r>
      <w:r w:rsidR="00257692">
        <w:t>.  I</w:t>
      </w:r>
      <w:r>
        <w:t xml:space="preserve">n the case of older web </w:t>
      </w:r>
      <w:r w:rsidR="00306044">
        <w:t>sites</w:t>
      </w:r>
      <w:r>
        <w:t xml:space="preserve"> the </w:t>
      </w:r>
      <w:r w:rsidR="00257692">
        <w:t>ICO suggests that this will be acceptable provided there is a prominently displayed “About Cookies”</w:t>
      </w:r>
      <w:r w:rsidR="000E353F">
        <w:t xml:space="preserve"> in the sites header area</w:t>
      </w:r>
      <w:r w:rsidR="00306044">
        <w:t>, and site owners show that they’ve made some effort to reduce the</w:t>
      </w:r>
      <w:r w:rsidR="006B4C71" w:rsidRPr="006B4C71">
        <w:t xml:space="preserve"> </w:t>
      </w:r>
      <w:r w:rsidR="006B4C71">
        <w:t xml:space="preserve">intrusiveness and life time </w:t>
      </w:r>
      <w:r w:rsidR="00306044">
        <w:t>of such cookies.</w:t>
      </w:r>
      <w:r w:rsidR="004874DE" w:rsidRPr="004874DE">
        <w:rPr>
          <w:vertAlign w:val="superscript"/>
        </w:rPr>
        <w:t>1</w:t>
      </w:r>
      <w:r w:rsidR="00306044">
        <w:t xml:space="preserve"> </w:t>
      </w:r>
    </w:p>
    <w:p w:rsidR="004874DE" w:rsidRDefault="004874DE" w:rsidP="00407B95">
      <w:pPr>
        <w:pStyle w:val="Heading4"/>
      </w:pPr>
      <w:r>
        <w:t>Implied</w:t>
      </w:r>
    </w:p>
    <w:p w:rsidR="004874DE" w:rsidRDefault="004874DE">
      <w:r>
        <w:t xml:space="preserve">Where it is assumed the user </w:t>
      </w:r>
      <w:r w:rsidR="00407B95">
        <w:t>knows that cookies are being used. In the future when browsers allow users to configure their preferences this will</w:t>
      </w:r>
      <w:r w:rsidR="006B4C71">
        <w:t xml:space="preserve"> constitute “implied consent”.  H</w:t>
      </w:r>
      <w:r w:rsidR="00407B95">
        <w:t xml:space="preserve">owever </w:t>
      </w:r>
      <w:r w:rsidR="00A3636B">
        <w:t>browser based opt-in strategies are not widely supported at present</w:t>
      </w:r>
      <w:r w:rsidR="00407B95">
        <w:t xml:space="preserve">. </w:t>
      </w:r>
      <w:r w:rsidR="00752AA1">
        <w:t xml:space="preserve">In fact the success of </w:t>
      </w:r>
      <w:r w:rsidR="00A3636B">
        <w:t xml:space="preserve">these </w:t>
      </w:r>
      <w:r w:rsidR="00752AA1">
        <w:t xml:space="preserve">future opt-in strategies is, in part, dependent upon the current generation of web sites educating users about cookies.  </w:t>
      </w:r>
    </w:p>
    <w:p w:rsidR="00407B95" w:rsidRDefault="00407B95">
      <w:r>
        <w:t>Making users aware</w:t>
      </w:r>
      <w:r w:rsidR="00752AA1">
        <w:t>,</w:t>
      </w:r>
      <w:r>
        <w:t xml:space="preserve"> with very prominent links to information about such cookies</w:t>
      </w:r>
      <w:r w:rsidR="00752AA1">
        <w:t>,</w:t>
      </w:r>
      <w:r>
        <w:t xml:space="preserve"> is the </w:t>
      </w:r>
      <w:r w:rsidR="006C7126">
        <w:t>advised approach</w:t>
      </w:r>
      <w:r w:rsidR="00ED4A7B">
        <w:t xml:space="preserve"> to maintaining compliance</w:t>
      </w:r>
      <w:r w:rsidR="006C7126">
        <w:t>.</w:t>
      </w:r>
      <w:r w:rsidR="006C7126" w:rsidRPr="006C7126">
        <w:rPr>
          <w:vertAlign w:val="superscript"/>
        </w:rPr>
        <w:t>2</w:t>
      </w:r>
      <w:r w:rsidR="003E4714">
        <w:t xml:space="preserve">  </w:t>
      </w:r>
    </w:p>
    <w:p w:rsidR="003E4714" w:rsidRDefault="00E759E3" w:rsidP="007F38CC">
      <w:pPr>
        <w:pStyle w:val="Heading3"/>
      </w:pPr>
      <w:r>
        <w:t>User/Subscriber</w:t>
      </w:r>
      <w:r w:rsidR="007F38CC">
        <w:t xml:space="preserve"> Services</w:t>
      </w:r>
    </w:p>
    <w:p w:rsidR="00E759E3" w:rsidRDefault="00435070">
      <w:r>
        <w:t>Th</w:t>
      </w:r>
      <w:r w:rsidR="00373E10">
        <w:t xml:space="preserve">is describes issues around services a </w:t>
      </w:r>
      <w:r>
        <w:t>user or</w:t>
      </w:r>
      <w:r w:rsidR="001A4E2D">
        <w:t xml:space="preserve"> subscriber</w:t>
      </w:r>
      <w:r w:rsidR="001A4E2D" w:rsidRPr="001A4E2D">
        <w:rPr>
          <w:vertAlign w:val="superscript"/>
        </w:rPr>
        <w:t>3</w:t>
      </w:r>
      <w:r w:rsidR="001A4E2D">
        <w:t xml:space="preserve"> has signed up for</w:t>
      </w:r>
      <w:r w:rsidR="00373E10">
        <w:t xml:space="preserve"> and</w:t>
      </w:r>
      <w:r w:rsidR="001A4E2D">
        <w:t xml:space="preserve"> which requires cookies to work correctly.</w:t>
      </w:r>
      <w:r w:rsidR="0072686C">
        <w:t xml:space="preserve"> </w:t>
      </w:r>
    </w:p>
    <w:p w:rsidR="00373E10" w:rsidRDefault="00CD3A6F" w:rsidP="007F38CC">
      <w:r>
        <w:lastRenderedPageBreak/>
        <w:t>Making information about cookies clearly visible, along with option’s to disable them</w:t>
      </w:r>
      <w:r w:rsidR="007F38CC">
        <w:t xml:space="preserve"> for existing web sites</w:t>
      </w:r>
      <w:r>
        <w:t xml:space="preserve"> will suffice.</w:t>
      </w:r>
      <w:r w:rsidRPr="00CD3A6F">
        <w:rPr>
          <w:vertAlign w:val="superscript"/>
        </w:rPr>
        <w:t>4</w:t>
      </w:r>
      <w:r w:rsidR="007F38CC">
        <w:rPr>
          <w:vertAlign w:val="superscript"/>
        </w:rPr>
        <w:t xml:space="preserve"> </w:t>
      </w:r>
      <w:r w:rsidR="00C10742">
        <w:rPr>
          <w:vertAlign w:val="superscript"/>
        </w:rPr>
        <w:t xml:space="preserve">  </w:t>
      </w:r>
      <w:r w:rsidR="007F38CC" w:rsidRPr="007F38CC">
        <w:t>For</w:t>
      </w:r>
      <w:r w:rsidR="007F38CC">
        <w:t xml:space="preserve"> new build web</w:t>
      </w:r>
      <w:r w:rsidR="00C10742">
        <w:t xml:space="preserve"> </w:t>
      </w:r>
      <w:r w:rsidR="007F38CC">
        <w:t>sites</w:t>
      </w:r>
      <w:r w:rsidR="00C10742">
        <w:t>,</w:t>
      </w:r>
      <w:r w:rsidR="007F38CC">
        <w:t xml:space="preserve"> consent will need to be gained prior to setting any cookies.  This </w:t>
      </w:r>
      <w:r w:rsidR="00ED4A7B">
        <w:t>might</w:t>
      </w:r>
      <w:r w:rsidR="007F38CC">
        <w:t xml:space="preserve"> take the form of a check box clearly labelled on the T’s &amp; C’s screen</w:t>
      </w:r>
      <w:r w:rsidR="00ED4A7B">
        <w:t xml:space="preserve"> for example</w:t>
      </w:r>
      <w:r w:rsidR="007F38CC">
        <w:t xml:space="preserve">. </w:t>
      </w:r>
    </w:p>
    <w:p w:rsidR="00CD3A6F" w:rsidRDefault="00373E10" w:rsidP="007F38CC">
      <w:r>
        <w:t xml:space="preserve">Incidentally, no distinction is made between </w:t>
      </w:r>
      <w:r w:rsidR="00C10742">
        <w:t>the user/subscriber</w:t>
      </w:r>
      <w:r>
        <w:t xml:space="preserve"> parties as far as consent goes.  It is an interesting </w:t>
      </w:r>
      <w:r w:rsidR="00C10742">
        <w:t>distinction</w:t>
      </w:r>
      <w:r>
        <w:t xml:space="preserve"> though</w:t>
      </w:r>
      <w:r w:rsidR="00C10742">
        <w:t>,</w:t>
      </w:r>
      <w:r>
        <w:t xml:space="preserve"> and is intended to distinguish a business user acting on behalf of a business, and </w:t>
      </w:r>
      <w:r w:rsidR="00C10742">
        <w:t>home user acting on behalf of themselves.</w:t>
      </w:r>
    </w:p>
    <w:p w:rsidR="004874DE" w:rsidRDefault="007944E5" w:rsidP="007944E5">
      <w:pPr>
        <w:pStyle w:val="Heading3"/>
      </w:pPr>
      <w:r>
        <w:t>Cookie Types</w:t>
      </w:r>
    </w:p>
    <w:p w:rsidR="007944E5" w:rsidRDefault="007944E5">
      <w:r>
        <w:t>There are a few different categories of cookie.  Each has its own particular</w:t>
      </w:r>
      <w:r w:rsidR="004B1551">
        <w:t xml:space="preserve"> challenges, which we’ll now look at.</w:t>
      </w:r>
    </w:p>
    <w:p w:rsidR="004B1551" w:rsidRDefault="004B1551" w:rsidP="00F7118A">
      <w:pPr>
        <w:pStyle w:val="Heading4"/>
      </w:pPr>
      <w:r>
        <w:t>Session Cookies</w:t>
      </w:r>
    </w:p>
    <w:p w:rsidR="004B1551" w:rsidRDefault="00027015">
      <w:r>
        <w:t>These are used to overcome the stateless nature of the HTTP</w:t>
      </w:r>
      <w:r w:rsidR="00BE6AD7">
        <w:t xml:space="preserve"> protocol</w:t>
      </w:r>
      <w:r>
        <w:t xml:space="preserve"> </w:t>
      </w:r>
      <w:r w:rsidR="00BE6AD7">
        <w:t>in tracking a user’s interactions with a web site</w:t>
      </w:r>
      <w:r w:rsidR="00C10742">
        <w:t xml:space="preserve"> during each visit</w:t>
      </w:r>
      <w:r w:rsidR="00BE6AD7">
        <w:t xml:space="preserve">.  They exist only as long as a user is viewing a web site and are removed when the browser hosting the session is closed.  For this reason they </w:t>
      </w:r>
      <w:r w:rsidR="001D0597">
        <w:t>are viewed as less intrusive and if used simply to support the sites functionality are deemed to be exempt from a requirement to gain consent.</w:t>
      </w:r>
      <w:r w:rsidR="001D0597" w:rsidRPr="001D0597">
        <w:rPr>
          <w:vertAlign w:val="superscript"/>
        </w:rPr>
        <w:t>5</w:t>
      </w:r>
      <w:r w:rsidR="001D0597">
        <w:t xml:space="preserve"> </w:t>
      </w:r>
    </w:p>
    <w:p w:rsidR="001D0597" w:rsidRDefault="001D0597" w:rsidP="00F7118A">
      <w:pPr>
        <w:pStyle w:val="Heading4"/>
      </w:pPr>
      <w:r>
        <w:t>Persistent Cookies</w:t>
      </w:r>
    </w:p>
    <w:p w:rsidR="001D0597" w:rsidRDefault="001D0597">
      <w:r>
        <w:t>These are cookies persisted between sessions.  They can be shared across several sites and can be used to target advertising</w:t>
      </w:r>
      <w:r w:rsidR="00DB0CE6">
        <w:t>,</w:t>
      </w:r>
      <w:r>
        <w:t xml:space="preserve"> or </w:t>
      </w:r>
      <w:r w:rsidR="00DB0CE6">
        <w:t xml:space="preserve">to record </w:t>
      </w:r>
      <w:proofErr w:type="gramStart"/>
      <w:r w:rsidR="00DB0CE6">
        <w:t>visitors</w:t>
      </w:r>
      <w:proofErr w:type="gramEnd"/>
      <w:r w:rsidR="00DB0CE6">
        <w:t xml:space="preserve"> preferences, or for analytical purposes</w:t>
      </w:r>
      <w:r>
        <w:t>.</w:t>
      </w:r>
      <w:r w:rsidR="00DB0CE6">
        <w:t xml:space="preserve">  These types of cookies do require consent.</w:t>
      </w:r>
    </w:p>
    <w:p w:rsidR="00DB0CE6" w:rsidRDefault="00DB0CE6" w:rsidP="00F7118A">
      <w:pPr>
        <w:pStyle w:val="Heading4"/>
      </w:pPr>
      <w:r>
        <w:t>First and Third Party Cookies</w:t>
      </w:r>
    </w:p>
    <w:p w:rsidR="00DB0CE6" w:rsidRDefault="00DB0CE6">
      <w:r>
        <w:t>First party cookies are those placed by the “originating domain” while third party cookies are placed by a domain not being visited by the user.  If a site is placing third party cookies on behalf of a third party</w:t>
      </w:r>
      <w:r w:rsidR="00C10742">
        <w:t>,</w:t>
      </w:r>
      <w:r>
        <w:t xml:space="preserve"> the ICO recommend that the site owners have </w:t>
      </w:r>
      <w:r w:rsidR="00C10742">
        <w:t>a contractual agreement with this</w:t>
      </w:r>
      <w:r>
        <w:t xml:space="preserve"> third party governing their cookies behaviour.</w:t>
      </w:r>
      <w:r w:rsidRPr="00DB0CE6">
        <w:rPr>
          <w:vertAlign w:val="superscript"/>
        </w:rPr>
        <w:t>6</w:t>
      </w:r>
    </w:p>
    <w:p w:rsidR="006C7126" w:rsidRDefault="00A01121" w:rsidP="00365960">
      <w:pPr>
        <w:pStyle w:val="Heading3"/>
      </w:pPr>
      <w:r>
        <w:t xml:space="preserve">What </w:t>
      </w:r>
      <w:r w:rsidR="00365960">
        <w:t>to</w:t>
      </w:r>
      <w:r>
        <w:t xml:space="preserve"> Do</w:t>
      </w:r>
    </w:p>
    <w:p w:rsidR="00A01121" w:rsidRDefault="00C10742">
      <w:r>
        <w:t>D</w:t>
      </w:r>
      <w:r w:rsidR="007F38CC">
        <w:t>oing nothing is not an option and is likely to bring the site owner into conf</w:t>
      </w:r>
      <w:r w:rsidR="00ED4A7B">
        <w:t>lict with the law.</w:t>
      </w:r>
      <w:r w:rsidR="00ED4A7B" w:rsidRPr="00ED4A7B">
        <w:rPr>
          <w:vertAlign w:val="superscript"/>
        </w:rPr>
        <w:t>7</w:t>
      </w:r>
    </w:p>
    <w:p w:rsidR="00ED4A7B" w:rsidRDefault="00ED4A7B">
      <w:r>
        <w:t xml:space="preserve">The </w:t>
      </w:r>
      <w:r w:rsidR="00C10742">
        <w:t>ICO</w:t>
      </w:r>
      <w:r w:rsidR="001500AF">
        <w:t xml:space="preserve"> recommends taking the following steps:</w:t>
      </w:r>
    </w:p>
    <w:p w:rsidR="001500AF" w:rsidRDefault="001500AF" w:rsidP="001500AF">
      <w:pPr>
        <w:pStyle w:val="ListParagraph"/>
        <w:numPr>
          <w:ilvl w:val="0"/>
          <w:numId w:val="1"/>
        </w:numPr>
      </w:pPr>
      <w:r>
        <w:t xml:space="preserve">Perform an audit of cookies being used </w:t>
      </w:r>
      <w:r w:rsidR="00C10742">
        <w:t>i.e. identify cookies and their</w:t>
      </w:r>
      <w:r>
        <w:t xml:space="preserve"> purpose,</w:t>
      </w:r>
      <w:r w:rsidR="00365960">
        <w:t xml:space="preserve"> the data they hold, any </w:t>
      </w:r>
      <w:r>
        <w:t>links</w:t>
      </w:r>
      <w:r w:rsidR="00365960">
        <w:t xml:space="preserve"> to PII data, their life time, their originating domain, and  check existing privacy policy</w:t>
      </w:r>
    </w:p>
    <w:p w:rsidR="001500AF" w:rsidRDefault="001500AF" w:rsidP="001500AF">
      <w:pPr>
        <w:pStyle w:val="ListParagraph"/>
        <w:numPr>
          <w:ilvl w:val="0"/>
          <w:numId w:val="1"/>
        </w:numPr>
      </w:pPr>
      <w:r>
        <w:t>Assess how intrusive they are</w:t>
      </w:r>
    </w:p>
    <w:p w:rsidR="001500AF" w:rsidRDefault="001500AF" w:rsidP="001500AF">
      <w:pPr>
        <w:pStyle w:val="ListParagraph"/>
        <w:numPr>
          <w:ilvl w:val="0"/>
          <w:numId w:val="1"/>
        </w:numPr>
      </w:pPr>
      <w:r>
        <w:t>Where consent is deemed necessary decide how it might be obtained</w:t>
      </w:r>
    </w:p>
    <w:p w:rsidR="00365960" w:rsidRDefault="00365960" w:rsidP="00365960">
      <w:r>
        <w:t xml:space="preserve">The IOC guidance document then goes on to </w:t>
      </w:r>
      <w:proofErr w:type="gramStart"/>
      <w:r>
        <w:t>advise</w:t>
      </w:r>
      <w:proofErr w:type="gramEnd"/>
      <w:r>
        <w:t xml:space="preserve"> on a number of practical way</w:t>
      </w:r>
      <w:r w:rsidR="00C10742">
        <w:t>s</w:t>
      </w:r>
      <w:r>
        <w:t xml:space="preserve"> to acquire consent.  These are mostly common </w:t>
      </w:r>
      <w:r w:rsidR="00643CFE">
        <w:t xml:space="preserve">sense </w:t>
      </w:r>
      <w:r>
        <w:t>but the more interesting are:</w:t>
      </w:r>
    </w:p>
    <w:p w:rsidR="00365960" w:rsidRDefault="00365960" w:rsidP="00365960">
      <w:pPr>
        <w:pStyle w:val="ListParagraph"/>
        <w:numPr>
          <w:ilvl w:val="0"/>
          <w:numId w:val="2"/>
        </w:numPr>
      </w:pPr>
      <w:r>
        <w:t>In the case of Services being offered consent could be part of the T’s and C’s</w:t>
      </w:r>
    </w:p>
    <w:p w:rsidR="00365960" w:rsidRDefault="00365960" w:rsidP="00365960">
      <w:pPr>
        <w:pStyle w:val="ListParagraph"/>
        <w:numPr>
          <w:ilvl w:val="0"/>
          <w:numId w:val="2"/>
        </w:numPr>
      </w:pPr>
      <w:r>
        <w:t xml:space="preserve">If the site has a user setup it could be obtained as a step in the </w:t>
      </w:r>
      <w:r w:rsidR="00643CFE">
        <w:t xml:space="preserve">setup </w:t>
      </w:r>
      <w:r>
        <w:t>process</w:t>
      </w:r>
    </w:p>
    <w:p w:rsidR="00365960" w:rsidRDefault="00365960" w:rsidP="00365960">
      <w:pPr>
        <w:pStyle w:val="ListParagraph"/>
        <w:numPr>
          <w:ilvl w:val="0"/>
          <w:numId w:val="2"/>
        </w:numPr>
      </w:pPr>
      <w:r>
        <w:t>If the site offers features that require 3</w:t>
      </w:r>
      <w:r w:rsidRPr="00365960">
        <w:rPr>
          <w:vertAlign w:val="superscript"/>
        </w:rPr>
        <w:t>rd</w:t>
      </w:r>
      <w:r>
        <w:t xml:space="preserve"> party cookies enabling such feature might require consenting to cookies</w:t>
      </w:r>
    </w:p>
    <w:p w:rsidR="00C10742" w:rsidRDefault="00C10742" w:rsidP="00303482">
      <w:pPr>
        <w:pStyle w:val="Heading3"/>
      </w:pPr>
      <w:r>
        <w:t>Further Reading</w:t>
      </w:r>
    </w:p>
    <w:p w:rsidR="00C10742" w:rsidRDefault="00C10742" w:rsidP="00C10742">
      <w:r>
        <w:t>See the ICO guidelines</w:t>
      </w:r>
      <w:r w:rsidR="00303482">
        <w:t xml:space="preserve"> </w:t>
      </w:r>
      <w:hyperlink r:id="rId7" w:history="1">
        <w:r w:rsidR="00303482" w:rsidRPr="00510401">
          <w:rPr>
            <w:rStyle w:val="Hyperlink"/>
          </w:rPr>
          <w:t>here</w:t>
        </w:r>
      </w:hyperlink>
      <w:r w:rsidR="00303482">
        <w:t>.</w:t>
      </w:r>
    </w:p>
    <w:p w:rsidR="00303482" w:rsidRDefault="00303482" w:rsidP="00C10742">
      <w:r>
        <w:t xml:space="preserve">For information about cookies in general the “All </w:t>
      </w:r>
      <w:proofErr w:type="gramStart"/>
      <w:r>
        <w:t>About</w:t>
      </w:r>
      <w:proofErr w:type="gramEnd"/>
      <w:r>
        <w:t xml:space="preserve"> Cookies” web site is hard to beat. It is located </w:t>
      </w:r>
      <w:hyperlink r:id="rId8" w:history="1">
        <w:r w:rsidRPr="00303482">
          <w:rPr>
            <w:rStyle w:val="Hyperlink"/>
          </w:rPr>
          <w:t>here</w:t>
        </w:r>
      </w:hyperlink>
      <w:r>
        <w:t>.</w:t>
      </w:r>
    </w:p>
    <w:p w:rsidR="00303482" w:rsidRDefault="00303482" w:rsidP="00C10742"/>
    <w:p w:rsidR="00303482" w:rsidRDefault="00303482" w:rsidP="00C10742">
      <w:bookmarkStart w:id="0" w:name="_GoBack"/>
      <w:bookmarkEnd w:id="0"/>
    </w:p>
    <w:p w:rsidR="006C7126" w:rsidRPr="00365960" w:rsidRDefault="006C7126" w:rsidP="006C7126">
      <w:pPr>
        <w:rPr>
          <w:sz w:val="20"/>
        </w:rPr>
      </w:pPr>
      <w:r w:rsidRPr="00365960">
        <w:rPr>
          <w:sz w:val="20"/>
          <w:vertAlign w:val="superscript"/>
        </w:rPr>
        <w:t xml:space="preserve">1 </w:t>
      </w:r>
      <w:r w:rsidRPr="00365960">
        <w:rPr>
          <w:sz w:val="20"/>
        </w:rPr>
        <w:t xml:space="preserve">IOC Guidance on the rules on use of cookies and similar technologies </w:t>
      </w:r>
      <w:r w:rsidR="008821F0" w:rsidRPr="00365960">
        <w:rPr>
          <w:sz w:val="20"/>
        </w:rPr>
        <w:t>[</w:t>
      </w:r>
      <w:r w:rsidRPr="00365960">
        <w:rPr>
          <w:sz w:val="20"/>
        </w:rPr>
        <w:t>December 2011</w:t>
      </w:r>
      <w:r w:rsidR="008821F0" w:rsidRPr="00365960">
        <w:rPr>
          <w:sz w:val="20"/>
        </w:rPr>
        <w:t>]</w:t>
      </w:r>
      <w:r w:rsidRPr="00365960">
        <w:rPr>
          <w:sz w:val="20"/>
        </w:rPr>
        <w:t xml:space="preserve"> </w:t>
      </w:r>
      <w:r w:rsidR="008821F0" w:rsidRPr="00365960">
        <w:rPr>
          <w:sz w:val="20"/>
        </w:rPr>
        <w:t>p.</w:t>
      </w:r>
      <w:r w:rsidRPr="00365960">
        <w:rPr>
          <w:sz w:val="20"/>
        </w:rPr>
        <w:t xml:space="preserve"> 6</w:t>
      </w:r>
    </w:p>
    <w:p w:rsidR="006C7126" w:rsidRPr="00365960" w:rsidRDefault="006C7126">
      <w:pPr>
        <w:rPr>
          <w:sz w:val="20"/>
          <w:vertAlign w:val="superscript"/>
        </w:rPr>
      </w:pPr>
      <w:r w:rsidRPr="00365960">
        <w:rPr>
          <w:sz w:val="20"/>
          <w:vertAlign w:val="superscript"/>
        </w:rPr>
        <w:t xml:space="preserve">2 </w:t>
      </w:r>
      <w:r w:rsidRPr="00365960">
        <w:rPr>
          <w:sz w:val="20"/>
        </w:rPr>
        <w:t xml:space="preserve">as above </w:t>
      </w:r>
      <w:r w:rsidR="008821F0" w:rsidRPr="00365960">
        <w:rPr>
          <w:sz w:val="20"/>
        </w:rPr>
        <w:t>p.</w:t>
      </w:r>
      <w:r w:rsidRPr="00365960">
        <w:rPr>
          <w:sz w:val="20"/>
        </w:rPr>
        <w:t xml:space="preserve"> 6-7</w:t>
      </w:r>
    </w:p>
    <w:p w:rsidR="00007A78" w:rsidRPr="00365960" w:rsidRDefault="006C7126">
      <w:pPr>
        <w:rPr>
          <w:sz w:val="20"/>
        </w:rPr>
      </w:pPr>
      <w:proofErr w:type="gramStart"/>
      <w:r w:rsidRPr="00365960">
        <w:rPr>
          <w:sz w:val="20"/>
          <w:vertAlign w:val="superscript"/>
        </w:rPr>
        <w:t xml:space="preserve">3 </w:t>
      </w:r>
      <w:r w:rsidR="00007A78" w:rsidRPr="00365960">
        <w:rPr>
          <w:sz w:val="20"/>
        </w:rPr>
        <w:t xml:space="preserve"> A</w:t>
      </w:r>
      <w:proofErr w:type="gramEnd"/>
      <w:r w:rsidR="001A4E2D" w:rsidRPr="00365960">
        <w:rPr>
          <w:sz w:val="20"/>
        </w:rPr>
        <w:t xml:space="preserve">  subscriber is </w:t>
      </w:r>
      <w:r w:rsidR="00435070" w:rsidRPr="00365960">
        <w:rPr>
          <w:sz w:val="20"/>
        </w:rPr>
        <w:t>in the party</w:t>
      </w:r>
      <w:r w:rsidR="00007A78" w:rsidRPr="00365960">
        <w:rPr>
          <w:sz w:val="20"/>
        </w:rPr>
        <w:t xml:space="preserve"> which pays for the line</w:t>
      </w:r>
      <w:r w:rsidR="008821F0" w:rsidRPr="00365960">
        <w:rPr>
          <w:sz w:val="20"/>
        </w:rPr>
        <w:t xml:space="preserve"> </w:t>
      </w:r>
      <w:r w:rsidR="00435070" w:rsidRPr="00365960">
        <w:rPr>
          <w:sz w:val="20"/>
        </w:rPr>
        <w:t>(important in the case</w:t>
      </w:r>
      <w:r w:rsidR="00CD3A6F" w:rsidRPr="00365960">
        <w:rPr>
          <w:sz w:val="20"/>
        </w:rPr>
        <w:t xml:space="preserve"> of a</w:t>
      </w:r>
      <w:r w:rsidR="00435070" w:rsidRPr="00365960">
        <w:rPr>
          <w:sz w:val="20"/>
        </w:rPr>
        <w:t xml:space="preserve"> business) and a user  is, well, a user</w:t>
      </w:r>
      <w:r w:rsidR="00007A78" w:rsidRPr="00365960">
        <w:rPr>
          <w:sz w:val="20"/>
        </w:rPr>
        <w:t xml:space="preserve">.  </w:t>
      </w:r>
    </w:p>
    <w:p w:rsidR="006C7126" w:rsidRPr="00365960" w:rsidRDefault="006C7126">
      <w:pPr>
        <w:rPr>
          <w:sz w:val="20"/>
          <w:vertAlign w:val="superscript"/>
        </w:rPr>
      </w:pPr>
      <w:r w:rsidRPr="00365960">
        <w:rPr>
          <w:sz w:val="20"/>
          <w:vertAlign w:val="superscript"/>
        </w:rPr>
        <w:t xml:space="preserve">4 </w:t>
      </w:r>
      <w:r w:rsidRPr="00365960">
        <w:rPr>
          <w:sz w:val="20"/>
        </w:rPr>
        <w:t>as above p</w:t>
      </w:r>
      <w:r w:rsidR="008821F0" w:rsidRPr="00365960">
        <w:rPr>
          <w:sz w:val="20"/>
        </w:rPr>
        <w:t xml:space="preserve">. </w:t>
      </w:r>
      <w:r w:rsidR="00CD3A6F" w:rsidRPr="00365960">
        <w:rPr>
          <w:sz w:val="20"/>
        </w:rPr>
        <w:t>7</w:t>
      </w:r>
    </w:p>
    <w:p w:rsidR="006C7126" w:rsidRPr="00365960" w:rsidRDefault="006C7126">
      <w:pPr>
        <w:rPr>
          <w:sz w:val="20"/>
        </w:rPr>
      </w:pPr>
      <w:r w:rsidRPr="00365960">
        <w:rPr>
          <w:sz w:val="20"/>
          <w:vertAlign w:val="superscript"/>
        </w:rPr>
        <w:t xml:space="preserve">5 </w:t>
      </w:r>
      <w:r w:rsidR="008821F0" w:rsidRPr="00365960">
        <w:rPr>
          <w:sz w:val="20"/>
        </w:rPr>
        <w:t xml:space="preserve">as above p. </w:t>
      </w:r>
      <w:r w:rsidR="00DB0CE6" w:rsidRPr="00365960">
        <w:rPr>
          <w:sz w:val="20"/>
        </w:rPr>
        <w:t>8-10</w:t>
      </w:r>
    </w:p>
    <w:p w:rsidR="006C7126" w:rsidRPr="00365960" w:rsidRDefault="00DB0CE6">
      <w:pPr>
        <w:rPr>
          <w:sz w:val="20"/>
        </w:rPr>
      </w:pPr>
      <w:r w:rsidRPr="00365960">
        <w:rPr>
          <w:sz w:val="20"/>
          <w:vertAlign w:val="superscript"/>
        </w:rPr>
        <w:t xml:space="preserve">6 </w:t>
      </w:r>
      <w:r w:rsidR="00F7118A" w:rsidRPr="00365960">
        <w:rPr>
          <w:sz w:val="20"/>
          <w:vertAlign w:val="superscript"/>
        </w:rPr>
        <w:t xml:space="preserve">   </w:t>
      </w:r>
      <w:r w:rsidR="00F7118A" w:rsidRPr="00365960">
        <w:rPr>
          <w:sz w:val="20"/>
        </w:rPr>
        <w:t>as above p. 10</w:t>
      </w:r>
    </w:p>
    <w:p w:rsidR="00ED4A7B" w:rsidRPr="00365960" w:rsidRDefault="00ED4A7B">
      <w:pPr>
        <w:rPr>
          <w:sz w:val="20"/>
          <w:vertAlign w:val="superscript"/>
        </w:rPr>
      </w:pPr>
      <w:r w:rsidRPr="00365960">
        <w:rPr>
          <w:sz w:val="20"/>
          <w:vertAlign w:val="superscript"/>
        </w:rPr>
        <w:t xml:space="preserve">7 </w:t>
      </w:r>
      <w:r w:rsidRPr="00365960">
        <w:rPr>
          <w:sz w:val="20"/>
        </w:rPr>
        <w:t>A fine of up to £500 000 is the maximum penalty</w:t>
      </w:r>
      <w:r w:rsidR="001500AF" w:rsidRPr="00365960">
        <w:rPr>
          <w:sz w:val="20"/>
        </w:rPr>
        <w:t xml:space="preserve"> the ICO can impose.</w:t>
      </w:r>
    </w:p>
    <w:sectPr w:rsidR="00ED4A7B" w:rsidRPr="00365960" w:rsidSect="00F843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7C1E"/>
    <w:multiLevelType w:val="hybridMultilevel"/>
    <w:tmpl w:val="A4DE8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0CB1"/>
    <w:multiLevelType w:val="hybridMultilevel"/>
    <w:tmpl w:val="4622E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20"/>
  <w:characterSpacingControl w:val="doNotCompress"/>
  <w:savePreviewPicture/>
  <w:compat>
    <w:useFELayout/>
  </w:compat>
  <w:docVars>
    <w:docVar w:name="Blog" w:val="1"/>
  </w:docVars>
  <w:rsids>
    <w:rsidRoot w:val="00A30323"/>
    <w:rsid w:val="00007A78"/>
    <w:rsid w:val="00027015"/>
    <w:rsid w:val="00041E1A"/>
    <w:rsid w:val="000D109A"/>
    <w:rsid w:val="000E353F"/>
    <w:rsid w:val="001144FD"/>
    <w:rsid w:val="001500AF"/>
    <w:rsid w:val="001A4E2D"/>
    <w:rsid w:val="001D0597"/>
    <w:rsid w:val="001F0C5F"/>
    <w:rsid w:val="00257692"/>
    <w:rsid w:val="002B74EB"/>
    <w:rsid w:val="002D5840"/>
    <w:rsid w:val="00303482"/>
    <w:rsid w:val="00306044"/>
    <w:rsid w:val="00306510"/>
    <w:rsid w:val="00365960"/>
    <w:rsid w:val="00373E10"/>
    <w:rsid w:val="003E4714"/>
    <w:rsid w:val="00407B95"/>
    <w:rsid w:val="00413187"/>
    <w:rsid w:val="00435070"/>
    <w:rsid w:val="004874DE"/>
    <w:rsid w:val="004B1551"/>
    <w:rsid w:val="00510401"/>
    <w:rsid w:val="00571EAD"/>
    <w:rsid w:val="00615B31"/>
    <w:rsid w:val="00643CFE"/>
    <w:rsid w:val="006B4C71"/>
    <w:rsid w:val="006C7126"/>
    <w:rsid w:val="0072686C"/>
    <w:rsid w:val="007329C8"/>
    <w:rsid w:val="00752AA1"/>
    <w:rsid w:val="007630AF"/>
    <w:rsid w:val="007944E5"/>
    <w:rsid w:val="007B2398"/>
    <w:rsid w:val="007F38CC"/>
    <w:rsid w:val="008821F0"/>
    <w:rsid w:val="00A01121"/>
    <w:rsid w:val="00A30323"/>
    <w:rsid w:val="00A3636B"/>
    <w:rsid w:val="00A629CE"/>
    <w:rsid w:val="00A73D04"/>
    <w:rsid w:val="00B24B48"/>
    <w:rsid w:val="00B41936"/>
    <w:rsid w:val="00BE6AD7"/>
    <w:rsid w:val="00C10742"/>
    <w:rsid w:val="00C344BD"/>
    <w:rsid w:val="00C537CB"/>
    <w:rsid w:val="00C9686E"/>
    <w:rsid w:val="00CB29E1"/>
    <w:rsid w:val="00CD3A6F"/>
    <w:rsid w:val="00D607BB"/>
    <w:rsid w:val="00D717D1"/>
    <w:rsid w:val="00DB0CE6"/>
    <w:rsid w:val="00DD1A14"/>
    <w:rsid w:val="00E467A8"/>
    <w:rsid w:val="00E759E3"/>
    <w:rsid w:val="00ED4A7B"/>
    <w:rsid w:val="00F7118A"/>
    <w:rsid w:val="00F8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  <w:rsid w:val="00F84319"/>
  </w:style>
  <w:style w:type="paragraph" w:styleId="Heading1">
    <w:name w:val="heading 1"/>
    <w:basedOn w:val="Normal"/>
    <w:next w:val="Normal"/>
    <w:uiPriority w:val="5"/>
    <w:qFormat/>
    <w:rsid w:val="00F84319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rsid w:val="00F8431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rsid w:val="00F84319"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rsid w:val="00F84319"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rsid w:val="00F84319"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rsid w:val="00F84319"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F84319"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rsid w:val="00F84319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rsid w:val="00F84319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sid w:val="00F84319"/>
    <w:rPr>
      <w:color w:val="808080"/>
    </w:rPr>
  </w:style>
  <w:style w:type="paragraph" w:customStyle="1" w:styleId="Account">
    <w:name w:val="Account"/>
    <w:semiHidden/>
    <w:rsid w:val="00F84319"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  <w:rsid w:val="00F84319"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rsid w:val="00F84319"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rsid w:val="00F84319"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sid w:val="00F84319"/>
    <w:rPr>
      <w:i/>
      <w:iCs/>
    </w:rPr>
  </w:style>
  <w:style w:type="character" w:styleId="Strong">
    <w:name w:val="Strong"/>
    <w:basedOn w:val="DefaultParagraphFont"/>
    <w:uiPriority w:val="22"/>
    <w:qFormat/>
    <w:rsid w:val="00F84319"/>
    <w:rPr>
      <w:b/>
      <w:bCs/>
    </w:rPr>
  </w:style>
  <w:style w:type="paragraph" w:customStyle="1" w:styleId="underline">
    <w:name w:val="underline"/>
    <w:semiHidden/>
    <w:rsid w:val="00F84319"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rsid w:val="00F84319"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BalloonText">
    <w:name w:val="Balloon Text"/>
    <w:basedOn w:val="Normal"/>
    <w:link w:val="BalloonTextChar"/>
    <w:uiPriority w:val="99"/>
    <w:semiHidden/>
    <w:rsid w:val="00A303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41E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4874DE"/>
    <w:rPr>
      <w:color w:val="800080" w:themeColor="followedHyperlink"/>
      <w:u w:val="single"/>
    </w:rPr>
  </w:style>
  <w:style w:type="paragraph" w:customStyle="1" w:styleId="Default">
    <w:name w:val="Default"/>
    <w:rsid w:val="006C7126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BalloonText">
    <w:name w:val="Balloon Text"/>
    <w:basedOn w:val="Normal"/>
    <w:link w:val="BalloonTextChar"/>
    <w:uiPriority w:val="99"/>
    <w:semiHidden/>
    <w:rsid w:val="00A303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41E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4874DE"/>
    <w:rPr>
      <w:color w:val="800080" w:themeColor="followedHyperlink"/>
      <w:u w:val="single"/>
    </w:rPr>
  </w:style>
  <w:style w:type="paragraph" w:customStyle="1" w:styleId="Default">
    <w:name w:val="Default"/>
    <w:rsid w:val="006C7126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boutcookie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o.gov.uk/~/media/documents/library/Privacy_and_electronic/Practical_application/advice_on_the_new_cookies_regulations.ashx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Information_Commissioner%27s_Offi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51D94"/>
    <w:rsid w:val="00045499"/>
    <w:rsid w:val="0036200E"/>
    <w:rsid w:val="00513D44"/>
    <w:rsid w:val="006578A6"/>
    <w:rsid w:val="00694414"/>
    <w:rsid w:val="00710F40"/>
    <w:rsid w:val="00851D94"/>
    <w:rsid w:val="009031A4"/>
    <w:rsid w:val="00A14BA7"/>
    <w:rsid w:val="00A25E50"/>
    <w:rsid w:val="00DB05AB"/>
    <w:rsid w:val="00EE2788"/>
    <w:rsid w:val="00FA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49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Cookies and European Law 2012</PostTitle>
  <PostDate/>
  <PostID/>
  <Category1/>
  <Category2/>
  <Category3/>
  <Category4/>
  <Category5/>
  <Category6/>
  <Category7/>
  <Category8/>
  <Category9/>
  <Category10/>
  <Account>0daf2bc7-0b10-45c9-8c3e-f1f844675bc5</Account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F97AA591-76D3-4CE0-B44A-BF417C6CDDCB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Blog.dotx</Template>
  <TotalTime>0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Introduction</vt:lpstr>
      <vt:lpstr>        Why now?</vt:lpstr>
      <vt:lpstr>        What does it cover?</vt:lpstr>
      <vt:lpstr>        Consent</vt:lpstr>
      <vt:lpstr>        User/Subscriber Services</vt:lpstr>
      <vt:lpstr>        Cookie Types</vt:lpstr>
      <vt:lpstr>        What to Do</vt:lpstr>
      <vt:lpstr>        Further Reading</vt:lpstr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michaelmcdowell</cp:lastModifiedBy>
  <cp:revision>2</cp:revision>
  <dcterms:created xsi:type="dcterms:W3CDTF">2012-03-15T09:36:00Z</dcterms:created>
  <dcterms:modified xsi:type="dcterms:W3CDTF">2012-03-15T09:36:00Z</dcterms:modified>
</cp:coreProperties>
</file>